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F01446" w:rsidRDefault="00A95674" w:rsidP="00A95674">
      <w:pPr>
        <w:jc w:val="center"/>
        <w:rPr>
          <w:rFonts w:cstheme="minorHAnsi"/>
          <w:sz w:val="24"/>
          <w:szCs w:val="24"/>
        </w:rPr>
      </w:pPr>
      <w:r w:rsidRPr="00F01446">
        <w:rPr>
          <w:rFonts w:cstheme="minorHAnsi"/>
          <w:sz w:val="24"/>
          <w:szCs w:val="24"/>
        </w:rPr>
        <w:t>Statement of Consideration (SOC)</w:t>
      </w:r>
    </w:p>
    <w:p w14:paraId="3F7E432F" w14:textId="1367E93A" w:rsidR="00A95674" w:rsidRPr="00F01446" w:rsidRDefault="003F2C59" w:rsidP="00DB7BFF">
      <w:pPr>
        <w:rPr>
          <w:rFonts w:cstheme="minorHAnsi"/>
          <w:sz w:val="24"/>
          <w:szCs w:val="24"/>
        </w:rPr>
      </w:pPr>
      <w:r w:rsidRPr="00F01446">
        <w:rPr>
          <w:rFonts w:cstheme="minorHAnsi"/>
          <w:sz w:val="24"/>
          <w:szCs w:val="24"/>
        </w:rPr>
        <w:t>PPTL 21-</w:t>
      </w:r>
      <w:r w:rsidR="00DB7405">
        <w:rPr>
          <w:rFonts w:cstheme="minorHAnsi"/>
          <w:sz w:val="24"/>
          <w:szCs w:val="24"/>
        </w:rPr>
        <w:t>19</w:t>
      </w:r>
      <w:r w:rsidR="00976197" w:rsidRPr="00F01446">
        <w:rPr>
          <w:rFonts w:cstheme="minorHAnsi"/>
          <w:sz w:val="24"/>
          <w:szCs w:val="24"/>
        </w:rPr>
        <w:t xml:space="preserve"> SOP</w:t>
      </w:r>
      <w:r w:rsidR="00343513" w:rsidRPr="00F01446">
        <w:rPr>
          <w:rFonts w:cstheme="minorHAnsi"/>
          <w:sz w:val="24"/>
          <w:szCs w:val="24"/>
        </w:rPr>
        <w:t xml:space="preserve"> 2.15, 2.15.2, 2.15.3, 2.15.9, and the CPS Investigative Distribution Chart</w:t>
      </w:r>
      <w:r w:rsidR="00976197" w:rsidRPr="00F01446">
        <w:rPr>
          <w:rFonts w:cstheme="minorHAnsi"/>
          <w:sz w:val="24"/>
          <w:szCs w:val="24"/>
        </w:rPr>
        <w:t xml:space="preserve">.  </w:t>
      </w:r>
      <w:r w:rsidR="00A95674" w:rsidRPr="00F01446">
        <w:rPr>
          <w:rFonts w:cstheme="minorHAnsi"/>
          <w:sz w:val="24"/>
          <w:szCs w:val="24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  <w:r w:rsidR="00976197" w:rsidRPr="00F01446">
        <w:rPr>
          <w:rFonts w:cstheme="minorHAnsi"/>
          <w:sz w:val="24"/>
          <w:szCs w:val="24"/>
        </w:rPr>
        <w:t>.</w:t>
      </w:r>
    </w:p>
    <w:p w14:paraId="69E42907" w14:textId="03FFBCAF" w:rsidR="004A49AB" w:rsidRPr="00F01446" w:rsidRDefault="004A49AB">
      <w:pPr>
        <w:rPr>
          <w:rFonts w:cstheme="minorHAnsi"/>
          <w:b/>
          <w:sz w:val="24"/>
          <w:szCs w:val="24"/>
          <w:u w:val="single"/>
        </w:rPr>
      </w:pPr>
    </w:p>
    <w:p w14:paraId="04F62F77" w14:textId="7EC13BFB" w:rsidR="00E6449B" w:rsidRPr="00F01446" w:rsidRDefault="0022104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SOP 2.15.9</w:t>
      </w:r>
    </w:p>
    <w:p w14:paraId="4227FC32" w14:textId="77777777" w:rsidR="00E6449B" w:rsidRPr="00F01446" w:rsidRDefault="00E6449B" w:rsidP="00E6449B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F01446">
        <w:rPr>
          <w:rFonts w:cstheme="minorHAnsi"/>
          <w:b/>
          <w:sz w:val="24"/>
          <w:szCs w:val="24"/>
        </w:rPr>
        <w:t>Comment</w:t>
      </w:r>
      <w:r w:rsidRPr="00F01446">
        <w:rPr>
          <w:rFonts w:cstheme="minorHAnsi"/>
          <w:sz w:val="24"/>
          <w:szCs w:val="24"/>
        </w:rPr>
        <w:t xml:space="preserve">:  We would like to see a notification of findings sent to the parents/legal guardian when we confirm or do not confirm on the findings of Human Trafficking involving non-caretakers.  We think the Parents/Guardians should receive notification of these findings. </w:t>
      </w:r>
    </w:p>
    <w:p w14:paraId="7BB56B52" w14:textId="71286993" w:rsidR="00E6449B" w:rsidRPr="00F01446" w:rsidRDefault="00E6449B" w:rsidP="00E6449B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36672A95" w14:textId="184C8FB4" w:rsidR="00E6449B" w:rsidRPr="00E27CA5" w:rsidRDefault="00E6449B" w:rsidP="00E6449B">
      <w:pPr>
        <w:pStyle w:val="ListParagraph"/>
        <w:rPr>
          <w:rFonts w:cstheme="minorHAnsi"/>
          <w:sz w:val="24"/>
          <w:szCs w:val="24"/>
        </w:rPr>
      </w:pPr>
      <w:r w:rsidRPr="00F01446">
        <w:rPr>
          <w:rFonts w:cstheme="minorHAnsi"/>
          <w:b/>
          <w:sz w:val="24"/>
          <w:szCs w:val="24"/>
        </w:rPr>
        <w:t xml:space="preserve">Response:  </w:t>
      </w:r>
      <w:r w:rsidR="00E27CA5" w:rsidRPr="00E27CA5">
        <w:rPr>
          <w:rFonts w:cstheme="minorHAnsi"/>
          <w:sz w:val="24"/>
          <w:szCs w:val="24"/>
        </w:rPr>
        <w:t>Currently</w:t>
      </w:r>
      <w:r w:rsidR="00340263">
        <w:rPr>
          <w:rFonts w:cstheme="minorHAnsi"/>
          <w:sz w:val="24"/>
          <w:szCs w:val="24"/>
        </w:rPr>
        <w:t>,</w:t>
      </w:r>
      <w:r w:rsidR="00E27CA5" w:rsidRPr="00E27CA5">
        <w:rPr>
          <w:rFonts w:cstheme="minorHAnsi"/>
          <w:sz w:val="24"/>
          <w:szCs w:val="24"/>
        </w:rPr>
        <w:t xml:space="preserve"> for confirmed </w:t>
      </w:r>
      <w:r w:rsidR="00774AC9">
        <w:rPr>
          <w:rFonts w:cstheme="minorHAnsi"/>
          <w:sz w:val="24"/>
          <w:szCs w:val="24"/>
        </w:rPr>
        <w:t xml:space="preserve">or </w:t>
      </w:r>
      <w:r w:rsidR="00E27CA5" w:rsidRPr="00E27CA5">
        <w:rPr>
          <w:rFonts w:cstheme="minorHAnsi"/>
          <w:sz w:val="24"/>
          <w:szCs w:val="24"/>
        </w:rPr>
        <w:t xml:space="preserve">not confirmed </w:t>
      </w:r>
      <w:r w:rsidR="00E27CA5">
        <w:rPr>
          <w:rFonts w:cstheme="minorHAnsi"/>
          <w:sz w:val="24"/>
          <w:szCs w:val="24"/>
        </w:rPr>
        <w:t>for non</w:t>
      </w:r>
      <w:r w:rsidR="00C23E57">
        <w:rPr>
          <w:rFonts w:cstheme="minorHAnsi"/>
          <w:sz w:val="24"/>
          <w:szCs w:val="24"/>
        </w:rPr>
        <w:t>-</w:t>
      </w:r>
      <w:r w:rsidR="00E27CA5">
        <w:rPr>
          <w:rFonts w:cstheme="minorHAnsi"/>
          <w:sz w:val="24"/>
          <w:szCs w:val="24"/>
        </w:rPr>
        <w:t xml:space="preserve">caretakers, </w:t>
      </w:r>
      <w:r w:rsidR="00E27CA5" w:rsidRPr="00E27CA5">
        <w:rPr>
          <w:rFonts w:cstheme="minorHAnsi"/>
          <w:sz w:val="24"/>
          <w:szCs w:val="24"/>
        </w:rPr>
        <w:t xml:space="preserve">no letters </w:t>
      </w:r>
      <w:r w:rsidR="00340263">
        <w:rPr>
          <w:rFonts w:cstheme="minorHAnsi"/>
          <w:sz w:val="24"/>
          <w:szCs w:val="24"/>
        </w:rPr>
        <w:t>are sent</w:t>
      </w:r>
      <w:r w:rsidR="00E27CA5" w:rsidRPr="00E27CA5">
        <w:rPr>
          <w:rFonts w:cstheme="minorHAnsi"/>
          <w:sz w:val="24"/>
          <w:szCs w:val="24"/>
        </w:rPr>
        <w:t xml:space="preserve"> because the perp</w:t>
      </w:r>
      <w:r w:rsidR="002F38F5">
        <w:rPr>
          <w:rFonts w:cstheme="minorHAnsi"/>
          <w:sz w:val="24"/>
          <w:szCs w:val="24"/>
        </w:rPr>
        <w:t xml:space="preserve">etrator’s name </w:t>
      </w:r>
      <w:r w:rsidR="00E27CA5" w:rsidRPr="00E27CA5">
        <w:rPr>
          <w:rFonts w:cstheme="minorHAnsi"/>
          <w:sz w:val="24"/>
          <w:szCs w:val="24"/>
        </w:rPr>
        <w:t>does n</w:t>
      </w:r>
      <w:r w:rsidR="00E27CA5">
        <w:rPr>
          <w:rFonts w:cstheme="minorHAnsi"/>
          <w:sz w:val="24"/>
          <w:szCs w:val="24"/>
        </w:rPr>
        <w:t xml:space="preserve">ot go on the central registry. </w:t>
      </w:r>
      <w:r w:rsidR="00340263">
        <w:rPr>
          <w:rFonts w:cstheme="minorHAnsi"/>
          <w:sz w:val="24"/>
          <w:szCs w:val="24"/>
        </w:rPr>
        <w:t xml:space="preserve"> </w:t>
      </w:r>
      <w:r w:rsidR="00C23E57">
        <w:rPr>
          <w:rFonts w:cstheme="minorHAnsi"/>
          <w:sz w:val="24"/>
          <w:szCs w:val="24"/>
        </w:rPr>
        <w:t>Non-caretaker perpetrators do not have due process to appeal the finding and</w:t>
      </w:r>
      <w:r w:rsidR="00340263">
        <w:rPr>
          <w:rFonts w:cstheme="minorHAnsi"/>
          <w:sz w:val="24"/>
          <w:szCs w:val="24"/>
        </w:rPr>
        <w:t>,</w:t>
      </w:r>
      <w:r w:rsidR="00C23E57">
        <w:rPr>
          <w:rFonts w:cstheme="minorHAnsi"/>
          <w:sz w:val="24"/>
          <w:szCs w:val="24"/>
        </w:rPr>
        <w:t xml:space="preserve"> therefore</w:t>
      </w:r>
      <w:r w:rsidR="00340263">
        <w:rPr>
          <w:rFonts w:cstheme="minorHAnsi"/>
          <w:sz w:val="24"/>
          <w:szCs w:val="24"/>
        </w:rPr>
        <w:t>,</w:t>
      </w:r>
      <w:r w:rsidR="00C23E57">
        <w:rPr>
          <w:rFonts w:cstheme="minorHAnsi"/>
          <w:sz w:val="24"/>
          <w:szCs w:val="24"/>
        </w:rPr>
        <w:t xml:space="preserve"> a notification template has not been created.</w:t>
      </w:r>
      <w:r w:rsidR="00221041">
        <w:rPr>
          <w:rFonts w:cstheme="minorHAnsi"/>
          <w:sz w:val="24"/>
          <w:szCs w:val="24"/>
        </w:rPr>
        <w:t xml:space="preserve"> Language will be added under Contingencies and Clarifications to indicate that</w:t>
      </w:r>
      <w:bookmarkStart w:id="0" w:name="_GoBack"/>
      <w:bookmarkEnd w:id="0"/>
      <w:r w:rsidR="00221041">
        <w:rPr>
          <w:rFonts w:cstheme="minorHAnsi"/>
          <w:sz w:val="24"/>
          <w:szCs w:val="24"/>
        </w:rPr>
        <w:t xml:space="preserve"> t</w:t>
      </w:r>
      <w:r w:rsidR="00774AC9">
        <w:rPr>
          <w:rFonts w:cstheme="minorHAnsi"/>
          <w:sz w:val="24"/>
          <w:szCs w:val="24"/>
        </w:rPr>
        <w:t>he SSW can inform the parent/guardian verbally or in writing on agency letterhead by drafting a brief letter regarding the finding. Contents of the letter should be decided on a case by case basis.</w:t>
      </w:r>
    </w:p>
    <w:p w14:paraId="332580BC" w14:textId="40C88756" w:rsidR="00E6449B" w:rsidRPr="00F01446" w:rsidRDefault="00E6449B" w:rsidP="00E6449B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67FCBC51" w14:textId="77777777" w:rsidR="00E6449B" w:rsidRPr="00F01446" w:rsidRDefault="00E6449B" w:rsidP="00E6449B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05329776" w14:textId="77777777" w:rsidR="00343513" w:rsidRPr="00F01446" w:rsidRDefault="007B5F03" w:rsidP="00343513">
      <w:pPr>
        <w:rPr>
          <w:rFonts w:cstheme="minorHAnsi"/>
          <w:b/>
          <w:sz w:val="24"/>
          <w:szCs w:val="24"/>
          <w:u w:val="single"/>
        </w:rPr>
      </w:pPr>
      <w:r w:rsidRPr="00F01446">
        <w:rPr>
          <w:rFonts w:cstheme="minorHAnsi"/>
          <w:b/>
          <w:sz w:val="24"/>
          <w:szCs w:val="24"/>
          <w:u w:val="single"/>
        </w:rPr>
        <w:t xml:space="preserve">SOP </w:t>
      </w:r>
      <w:r w:rsidR="00343513" w:rsidRPr="00F01446">
        <w:rPr>
          <w:rFonts w:cstheme="minorHAnsi"/>
          <w:b/>
          <w:sz w:val="24"/>
          <w:szCs w:val="24"/>
          <w:u w:val="single"/>
        </w:rPr>
        <w:t xml:space="preserve">2.15 </w:t>
      </w:r>
    </w:p>
    <w:p w14:paraId="17000E6A" w14:textId="26BDCC8A" w:rsidR="00343513" w:rsidRPr="00707BF9" w:rsidRDefault="00343513" w:rsidP="00343513">
      <w:pPr>
        <w:pStyle w:val="ListParagraph"/>
        <w:numPr>
          <w:ilvl w:val="0"/>
          <w:numId w:val="35"/>
        </w:numPr>
        <w:rPr>
          <w:rFonts w:cstheme="minorHAnsi"/>
          <w:b/>
          <w:sz w:val="24"/>
          <w:szCs w:val="24"/>
          <w:u w:val="single"/>
        </w:rPr>
      </w:pPr>
      <w:r w:rsidRPr="00F01446">
        <w:rPr>
          <w:rFonts w:cstheme="minorHAnsi"/>
          <w:b/>
          <w:sz w:val="24"/>
          <w:szCs w:val="24"/>
        </w:rPr>
        <w:t xml:space="preserve">Comment:  </w:t>
      </w:r>
      <w:r w:rsidRPr="00707BF9">
        <w:rPr>
          <w:rFonts w:cstheme="minorHAnsi"/>
          <w:b/>
          <w:sz w:val="24"/>
          <w:szCs w:val="24"/>
        </w:rPr>
        <w:t>16</w:t>
      </w:r>
      <w:r w:rsidR="00F01446" w:rsidRPr="00707BF9">
        <w:rPr>
          <w:rFonts w:cstheme="minorHAnsi"/>
          <w:b/>
          <w:sz w:val="24"/>
          <w:szCs w:val="24"/>
        </w:rPr>
        <w:t xml:space="preserve">.  </w:t>
      </w:r>
      <w:r w:rsidRPr="00707BF9">
        <w:rPr>
          <w:rFonts w:eastAsia="Times New Roman" w:cstheme="minorHAnsi"/>
          <w:sz w:val="24"/>
          <w:szCs w:val="24"/>
        </w:rPr>
        <w:t xml:space="preserve">Completes the following tasks if other children are interviewed as collaterals: </w:t>
      </w:r>
    </w:p>
    <w:p w14:paraId="7835A89C" w14:textId="50CEB6CD" w:rsidR="00343513" w:rsidRPr="00707BF9" w:rsidRDefault="002F38F5" w:rsidP="00343513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07BF9">
        <w:rPr>
          <w:rFonts w:eastAsia="Times New Roman" w:cstheme="minorHAnsi"/>
          <w:sz w:val="24"/>
          <w:szCs w:val="24"/>
        </w:rPr>
        <w:t>Obtains the parent’s</w:t>
      </w:r>
      <w:r w:rsidR="00343513" w:rsidRPr="00707BF9">
        <w:rPr>
          <w:rFonts w:eastAsia="Times New Roman" w:cstheme="minorHAnsi"/>
          <w:sz w:val="24"/>
          <w:szCs w:val="24"/>
        </w:rPr>
        <w:t xml:space="preserve"> permission, if possible; </w:t>
      </w:r>
    </w:p>
    <w:p w14:paraId="3D925A0A" w14:textId="77777777" w:rsidR="00343513" w:rsidRPr="00707BF9" w:rsidRDefault="00343513" w:rsidP="00343513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07BF9">
        <w:rPr>
          <w:rFonts w:eastAsia="Times New Roman" w:cstheme="minorHAnsi"/>
          <w:sz w:val="24"/>
          <w:szCs w:val="24"/>
        </w:rPr>
        <w:t xml:space="preserve">Informs the parent as soon as possible after the interview if the parent is not contacted prior to the interview; </w:t>
      </w:r>
    </w:p>
    <w:p w14:paraId="329504BB" w14:textId="7C5FE08D" w:rsidR="00343513" w:rsidRPr="00707BF9" w:rsidRDefault="00343513" w:rsidP="00343513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07BF9">
        <w:rPr>
          <w:rFonts w:eastAsia="Times New Roman" w:cstheme="minorHAnsi"/>
          <w:sz w:val="24"/>
          <w:szCs w:val="24"/>
        </w:rPr>
        <w:t>Explains to the parent</w:t>
      </w:r>
      <w:r w:rsidR="00E27CA5" w:rsidRPr="00707BF9">
        <w:rPr>
          <w:rFonts w:eastAsia="Times New Roman" w:cstheme="minorHAnsi"/>
          <w:sz w:val="24"/>
          <w:szCs w:val="24"/>
        </w:rPr>
        <w:t>/guardian</w:t>
      </w:r>
      <w:r w:rsidRPr="00707BF9">
        <w:rPr>
          <w:rFonts w:eastAsia="Times New Roman" w:cstheme="minorHAnsi"/>
          <w:sz w:val="24"/>
          <w:szCs w:val="24"/>
        </w:rPr>
        <w:t xml:space="preserve"> that his/her child is not the alleged victim; and </w:t>
      </w:r>
    </w:p>
    <w:p w14:paraId="19E33E45" w14:textId="00AF8630" w:rsidR="00343513" w:rsidRPr="00707BF9" w:rsidRDefault="00343513" w:rsidP="00343513">
      <w:pPr>
        <w:numPr>
          <w:ilvl w:val="3"/>
          <w:numId w:val="3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07BF9">
        <w:rPr>
          <w:rFonts w:eastAsia="Times New Roman" w:cstheme="minorHAnsi"/>
          <w:sz w:val="24"/>
          <w:szCs w:val="24"/>
        </w:rPr>
        <w:t>Determines in conjunction with the FSOS and child’s parent(s)</w:t>
      </w:r>
      <w:r w:rsidR="00E27CA5" w:rsidRPr="00707BF9">
        <w:rPr>
          <w:rFonts w:eastAsia="Times New Roman" w:cstheme="minorHAnsi"/>
          <w:sz w:val="24"/>
          <w:szCs w:val="24"/>
        </w:rPr>
        <w:t>/guardian</w:t>
      </w:r>
      <w:r w:rsidRPr="00707BF9">
        <w:rPr>
          <w:rFonts w:eastAsia="Times New Roman" w:cstheme="minorHAnsi"/>
          <w:sz w:val="24"/>
          <w:szCs w:val="24"/>
        </w:rPr>
        <w:t xml:space="preserve"> an appropriate place to interview the child.</w:t>
      </w:r>
    </w:p>
    <w:p w14:paraId="6C9E7B6F" w14:textId="2ACA9AD6" w:rsidR="00343513" w:rsidRPr="00F01446" w:rsidRDefault="00343513" w:rsidP="00343513">
      <w:pPr>
        <w:pStyle w:val="ListParagraph"/>
        <w:ind w:left="0" w:firstLine="720"/>
        <w:rPr>
          <w:rFonts w:cstheme="minorHAnsi"/>
          <w:sz w:val="24"/>
          <w:szCs w:val="24"/>
        </w:rPr>
      </w:pPr>
      <w:r w:rsidRPr="00F01446">
        <w:rPr>
          <w:rFonts w:cstheme="minorHAnsi"/>
          <w:sz w:val="24"/>
          <w:szCs w:val="24"/>
        </w:rPr>
        <w:t>The above says parent. Can we notify workers if DCBS has custody.  Could this specify.   </w:t>
      </w:r>
    </w:p>
    <w:p w14:paraId="39A2BF29" w14:textId="338C634F" w:rsidR="00343513" w:rsidRPr="00F01446" w:rsidRDefault="00343513" w:rsidP="00343513">
      <w:pPr>
        <w:pStyle w:val="ListParagraph"/>
        <w:ind w:left="0" w:firstLine="720"/>
        <w:rPr>
          <w:rFonts w:cstheme="minorHAnsi"/>
          <w:sz w:val="24"/>
          <w:szCs w:val="24"/>
        </w:rPr>
      </w:pPr>
    </w:p>
    <w:p w14:paraId="29AC5343" w14:textId="59C80B70" w:rsidR="002F38F5" w:rsidRDefault="00343513" w:rsidP="002F38F5">
      <w:pPr>
        <w:spacing w:before="100" w:beforeAutospacing="1" w:after="100" w:afterAutospacing="1" w:line="240" w:lineRule="auto"/>
        <w:ind w:firstLine="720"/>
        <w:rPr>
          <w:rFonts w:cstheme="minorHAnsi"/>
          <w:b/>
          <w:sz w:val="24"/>
          <w:szCs w:val="24"/>
        </w:rPr>
      </w:pPr>
      <w:r w:rsidRPr="00F01446">
        <w:rPr>
          <w:rFonts w:cstheme="minorHAnsi"/>
          <w:b/>
          <w:sz w:val="24"/>
          <w:szCs w:val="24"/>
        </w:rPr>
        <w:t xml:space="preserve">Response:  </w:t>
      </w:r>
      <w:r w:rsidR="0050012F">
        <w:rPr>
          <w:rFonts w:cstheme="minorHAnsi"/>
          <w:sz w:val="24"/>
          <w:szCs w:val="24"/>
        </w:rPr>
        <w:t xml:space="preserve">Change is made. </w:t>
      </w:r>
    </w:p>
    <w:p w14:paraId="02CB1FFE" w14:textId="4E04C902" w:rsidR="0050012F" w:rsidRDefault="002F38F5" w:rsidP="0050012F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12F">
        <w:rPr>
          <w:rFonts w:eastAsia="Times New Roman" w:cstheme="minorHAnsi"/>
          <w:sz w:val="24"/>
          <w:szCs w:val="24"/>
        </w:rPr>
        <w:t>Obtains the parent</w:t>
      </w:r>
      <w:r w:rsidR="0050012F">
        <w:rPr>
          <w:rFonts w:eastAsia="Times New Roman" w:cstheme="minorHAnsi"/>
          <w:sz w:val="24"/>
          <w:szCs w:val="24"/>
        </w:rPr>
        <w:t>/</w:t>
      </w:r>
      <w:r w:rsidR="0050012F" w:rsidRPr="0050012F">
        <w:rPr>
          <w:rFonts w:eastAsia="Times New Roman" w:cstheme="minorHAnsi"/>
          <w:color w:val="C45911" w:themeColor="accent2" w:themeShade="BF"/>
          <w:sz w:val="24"/>
          <w:szCs w:val="24"/>
        </w:rPr>
        <w:t>guardian’s</w:t>
      </w:r>
      <w:r w:rsidR="0050012F">
        <w:rPr>
          <w:rFonts w:eastAsia="Times New Roman" w:cstheme="minorHAnsi"/>
          <w:sz w:val="24"/>
          <w:szCs w:val="24"/>
        </w:rPr>
        <w:t xml:space="preserve"> </w:t>
      </w:r>
      <w:r w:rsidRPr="0050012F">
        <w:rPr>
          <w:rFonts w:eastAsia="Times New Roman" w:cstheme="minorHAnsi"/>
          <w:sz w:val="24"/>
          <w:szCs w:val="24"/>
        </w:rPr>
        <w:t xml:space="preserve">permission, </w:t>
      </w:r>
      <w:r w:rsidRPr="0050012F">
        <w:rPr>
          <w:rFonts w:eastAsia="Times New Roman" w:cstheme="minorHAnsi"/>
          <w:strike/>
          <w:color w:val="C45911" w:themeColor="accent2" w:themeShade="BF"/>
          <w:sz w:val="24"/>
          <w:szCs w:val="24"/>
        </w:rPr>
        <w:t>if possible</w:t>
      </w:r>
      <w:r w:rsidRPr="0050012F">
        <w:rPr>
          <w:rFonts w:eastAsia="Times New Roman" w:cstheme="minorHAnsi"/>
          <w:sz w:val="24"/>
          <w:szCs w:val="24"/>
        </w:rPr>
        <w:t xml:space="preserve">; </w:t>
      </w:r>
    </w:p>
    <w:p w14:paraId="29B5E93D" w14:textId="77777777" w:rsidR="0050012F" w:rsidRPr="0050012F" w:rsidRDefault="002F38F5" w:rsidP="0050012F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theme="minorHAnsi"/>
          <w:strike/>
          <w:color w:val="C45911" w:themeColor="accent2" w:themeShade="BF"/>
          <w:sz w:val="24"/>
          <w:szCs w:val="24"/>
        </w:rPr>
      </w:pPr>
      <w:r w:rsidRPr="0050012F">
        <w:rPr>
          <w:rFonts w:eastAsia="Times New Roman" w:cstheme="minorHAnsi"/>
          <w:strike/>
          <w:color w:val="C45911" w:themeColor="accent2" w:themeShade="BF"/>
          <w:sz w:val="24"/>
          <w:szCs w:val="24"/>
        </w:rPr>
        <w:lastRenderedPageBreak/>
        <w:t xml:space="preserve">Informs the parent as soon as possible after the interview if the parent is not contacted prior to the interview; </w:t>
      </w:r>
    </w:p>
    <w:p w14:paraId="70108546" w14:textId="77777777" w:rsidR="0050012F" w:rsidRDefault="002F38F5" w:rsidP="0050012F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12F">
        <w:rPr>
          <w:rFonts w:eastAsia="Times New Roman" w:cstheme="minorHAnsi"/>
          <w:sz w:val="24"/>
          <w:szCs w:val="24"/>
        </w:rPr>
        <w:t xml:space="preserve">Explains to the parent/guardian that his/her child is not the alleged victim; and </w:t>
      </w:r>
    </w:p>
    <w:p w14:paraId="39B40C49" w14:textId="7F29578C" w:rsidR="002F38F5" w:rsidRPr="0050012F" w:rsidRDefault="002F38F5" w:rsidP="0050012F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0012F">
        <w:rPr>
          <w:rFonts w:eastAsia="Times New Roman" w:cstheme="minorHAnsi"/>
          <w:sz w:val="24"/>
          <w:szCs w:val="24"/>
        </w:rPr>
        <w:t>Determines in conjunction with the FSOS and child’s parent(s)/guardian an appropriate place to interview the child.</w:t>
      </w:r>
    </w:p>
    <w:p w14:paraId="2BCA9841" w14:textId="1CC5EA8C" w:rsidR="00343513" w:rsidRPr="00F01446" w:rsidRDefault="00343513" w:rsidP="00343513">
      <w:pPr>
        <w:pStyle w:val="ListParagraph"/>
        <w:ind w:left="0" w:firstLine="720"/>
        <w:rPr>
          <w:rFonts w:cstheme="minorHAnsi"/>
          <w:b/>
          <w:sz w:val="24"/>
          <w:szCs w:val="24"/>
        </w:rPr>
      </w:pPr>
    </w:p>
    <w:p w14:paraId="56C8B832" w14:textId="6D4F48E0" w:rsidR="00343513" w:rsidRPr="00F01446" w:rsidRDefault="00343513" w:rsidP="00343513">
      <w:pPr>
        <w:pStyle w:val="ListParagraph"/>
        <w:ind w:left="0" w:firstLine="720"/>
        <w:rPr>
          <w:rFonts w:cstheme="minorHAnsi"/>
          <w:b/>
          <w:sz w:val="24"/>
          <w:szCs w:val="24"/>
        </w:rPr>
      </w:pPr>
    </w:p>
    <w:p w14:paraId="0A2B0B95" w14:textId="3E66C0A8" w:rsidR="00DF3321" w:rsidRDefault="00343513" w:rsidP="00E6449B">
      <w:pPr>
        <w:pStyle w:val="ListParagraph"/>
        <w:numPr>
          <w:ilvl w:val="0"/>
          <w:numId w:val="35"/>
        </w:numPr>
        <w:rPr>
          <w:rFonts w:cstheme="minorHAnsi"/>
          <w:b/>
          <w:color w:val="C45911" w:themeColor="accent2" w:themeShade="BF"/>
          <w:sz w:val="24"/>
          <w:szCs w:val="24"/>
        </w:rPr>
      </w:pPr>
      <w:r w:rsidRPr="00F01446">
        <w:rPr>
          <w:rFonts w:cstheme="minorHAnsi"/>
          <w:b/>
          <w:sz w:val="24"/>
          <w:szCs w:val="24"/>
        </w:rPr>
        <w:t xml:space="preserve">Comment:  </w:t>
      </w:r>
      <w:r w:rsidR="00E6449B" w:rsidRPr="00F01446">
        <w:rPr>
          <w:rFonts w:cstheme="minorHAnsi"/>
          <w:b/>
          <w:color w:val="C45911" w:themeColor="accent2" w:themeShade="BF"/>
          <w:sz w:val="24"/>
          <w:szCs w:val="24"/>
        </w:rPr>
        <w:t>37.  Submits the assessment to the SRA, or designee, for review, when completed</w:t>
      </w:r>
      <w:r w:rsidR="000543E1">
        <w:rPr>
          <w:rFonts w:cstheme="minorHAnsi"/>
          <w:b/>
          <w:color w:val="C45911" w:themeColor="accent2" w:themeShade="BF"/>
          <w:sz w:val="24"/>
          <w:szCs w:val="24"/>
        </w:rPr>
        <w:t xml:space="preserve">.  </w:t>
      </w:r>
    </w:p>
    <w:p w14:paraId="15ABBD1A" w14:textId="1C66AFB3" w:rsidR="00343513" w:rsidRDefault="00DF3321" w:rsidP="00DF3321">
      <w:pPr>
        <w:pStyle w:val="ListParagraph"/>
        <w:numPr>
          <w:ilvl w:val="1"/>
          <w:numId w:val="35"/>
        </w:numPr>
        <w:rPr>
          <w:rFonts w:cstheme="minorHAnsi"/>
          <w:b/>
          <w:color w:val="C45911" w:themeColor="accent2" w:themeShade="BF"/>
          <w:sz w:val="24"/>
          <w:szCs w:val="24"/>
        </w:rPr>
      </w:pPr>
      <w:r>
        <w:rPr>
          <w:rFonts w:cstheme="minorHAnsi"/>
          <w:b/>
          <w:sz w:val="24"/>
          <w:szCs w:val="24"/>
        </w:rPr>
        <w:t>THe sRA or designee should conduct at least one consult using the form for all specialized inv in this section.</w:t>
      </w:r>
      <w:r>
        <w:rPr>
          <w:rFonts w:cstheme="minorHAnsi"/>
          <w:b/>
          <w:color w:val="C45911" w:themeColor="accent2" w:themeShade="BF"/>
          <w:sz w:val="24"/>
          <w:szCs w:val="24"/>
        </w:rPr>
        <w:t xml:space="preserve">  </w:t>
      </w:r>
      <w:r w:rsidR="00E6449B" w:rsidRPr="00F01446">
        <w:rPr>
          <w:rFonts w:cstheme="minorHAnsi"/>
          <w:b/>
          <w:color w:val="C45911" w:themeColor="accent2" w:themeShade="BF"/>
          <w:sz w:val="24"/>
          <w:szCs w:val="24"/>
        </w:rPr>
        <w:t xml:space="preserve">; </w:t>
      </w:r>
    </w:p>
    <w:p w14:paraId="7AFC1C29" w14:textId="77777777" w:rsidR="00F01446" w:rsidRPr="00F01446" w:rsidRDefault="00F01446" w:rsidP="00F01446">
      <w:pPr>
        <w:pStyle w:val="ListParagraph"/>
        <w:rPr>
          <w:rFonts w:cstheme="minorHAnsi"/>
          <w:b/>
          <w:color w:val="C45911" w:themeColor="accent2" w:themeShade="BF"/>
          <w:sz w:val="24"/>
          <w:szCs w:val="24"/>
        </w:rPr>
      </w:pPr>
    </w:p>
    <w:p w14:paraId="3AAE6B8B" w14:textId="77777777" w:rsidR="00E6449B" w:rsidRPr="00F01446" w:rsidRDefault="00E6449B" w:rsidP="00E6449B">
      <w:pPr>
        <w:pStyle w:val="ListParagraph"/>
        <w:rPr>
          <w:rFonts w:cstheme="minorHAnsi"/>
          <w:sz w:val="24"/>
          <w:szCs w:val="24"/>
        </w:rPr>
      </w:pPr>
      <w:r w:rsidRPr="00F01446">
        <w:rPr>
          <w:rFonts w:cstheme="minorHAnsi"/>
          <w:sz w:val="24"/>
          <w:szCs w:val="24"/>
        </w:rPr>
        <w:t xml:space="preserve">When the above is listed they are discussing systematic issues so I believe this may need done for systematic issues but it doesn’t specify.  Could it be more clear? </w:t>
      </w:r>
    </w:p>
    <w:p w14:paraId="50608D56" w14:textId="77777777" w:rsidR="00E6449B" w:rsidRPr="00F01446" w:rsidRDefault="00E6449B" w:rsidP="00E6449B">
      <w:pPr>
        <w:pStyle w:val="ListParagraph"/>
        <w:rPr>
          <w:rFonts w:cstheme="minorHAnsi"/>
          <w:sz w:val="24"/>
          <w:szCs w:val="24"/>
        </w:rPr>
      </w:pPr>
    </w:p>
    <w:p w14:paraId="1D0C7567" w14:textId="71A859A6" w:rsidR="00343513" w:rsidRPr="00F01446" w:rsidRDefault="00E6449B" w:rsidP="00E6449B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F01446">
        <w:rPr>
          <w:rFonts w:cstheme="minorHAnsi"/>
          <w:sz w:val="24"/>
          <w:szCs w:val="24"/>
        </w:rPr>
        <w:tab/>
      </w:r>
      <w:r w:rsidRPr="00F01446">
        <w:rPr>
          <w:rFonts w:cstheme="minorHAnsi"/>
          <w:b/>
          <w:sz w:val="24"/>
          <w:szCs w:val="24"/>
        </w:rPr>
        <w:t xml:space="preserve">Response:  </w:t>
      </w:r>
      <w:r w:rsidR="00707BF9" w:rsidRPr="00707BF9">
        <w:rPr>
          <w:rFonts w:cstheme="minorHAnsi"/>
          <w:sz w:val="24"/>
          <w:szCs w:val="24"/>
        </w:rPr>
        <w:t>Change will be made</w:t>
      </w:r>
      <w:r w:rsidR="00707BF9">
        <w:rPr>
          <w:rFonts w:cstheme="minorHAnsi"/>
          <w:b/>
          <w:sz w:val="24"/>
          <w:szCs w:val="24"/>
        </w:rPr>
        <w:t xml:space="preserve">. </w:t>
      </w:r>
    </w:p>
    <w:p w14:paraId="04BC9B21" w14:textId="7ABE4FA1" w:rsidR="00707BF9" w:rsidRDefault="00707BF9" w:rsidP="00707BF9">
      <w:pPr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37.  </w:t>
      </w:r>
      <w:r w:rsidRPr="00707BF9">
        <w:rPr>
          <w:rFonts w:cstheme="minorHAnsi"/>
          <w:sz w:val="24"/>
          <w:szCs w:val="24"/>
        </w:rPr>
        <w:t>Submits the </w:t>
      </w:r>
      <w:r w:rsidRPr="00707BF9">
        <w:rPr>
          <w:rFonts w:cstheme="minorHAnsi"/>
          <w:b/>
          <w:color w:val="C45911" w:themeColor="accent2" w:themeShade="BF"/>
          <w:sz w:val="24"/>
          <w:szCs w:val="24"/>
        </w:rPr>
        <w:t>substantiated</w:t>
      </w:r>
      <w:r w:rsidRPr="00707BF9">
        <w:rPr>
          <w:rFonts w:cstheme="minorHAnsi"/>
          <w:color w:val="C45911" w:themeColor="accent2" w:themeShade="BF"/>
          <w:sz w:val="24"/>
          <w:szCs w:val="24"/>
        </w:rPr>
        <w:t> </w:t>
      </w:r>
      <w:r w:rsidRPr="00707BF9">
        <w:rPr>
          <w:rFonts w:cstheme="minorHAnsi"/>
          <w:sz w:val="24"/>
          <w:szCs w:val="24"/>
        </w:rPr>
        <w:t>assessment to the SRA</w:t>
      </w:r>
      <w:r>
        <w:rPr>
          <w:rFonts w:cstheme="minorHAnsi"/>
          <w:sz w:val="24"/>
          <w:szCs w:val="24"/>
        </w:rPr>
        <w:t xml:space="preserve">, </w:t>
      </w:r>
      <w:r w:rsidRPr="00707BF9">
        <w:rPr>
          <w:rFonts w:cstheme="minorHAnsi"/>
          <w:sz w:val="24"/>
          <w:szCs w:val="24"/>
        </w:rPr>
        <w:t>or designee, for review when completed;</w:t>
      </w:r>
    </w:p>
    <w:p w14:paraId="2FFE41F4" w14:textId="77777777" w:rsidR="00707BF9" w:rsidRPr="00707BF9" w:rsidRDefault="00707BF9" w:rsidP="00707BF9">
      <w:pPr>
        <w:shd w:val="clear" w:color="auto" w:fill="FFFFFF"/>
        <w:spacing w:beforeAutospacing="1" w:after="0" w:afterAutospacing="1" w:line="240" w:lineRule="auto"/>
        <w:ind w:firstLine="720"/>
        <w:rPr>
          <w:rFonts w:ascii="Verdana" w:eastAsia="Times New Roman" w:hAnsi="Verdana" w:cs="Times New Roman"/>
          <w:color w:val="212121"/>
          <w:sz w:val="18"/>
          <w:szCs w:val="18"/>
        </w:rPr>
      </w:pPr>
      <w:r w:rsidRPr="00707BF9">
        <w:rPr>
          <w:rFonts w:ascii="Verdana" w:eastAsia="Times New Roman" w:hAnsi="Verdana" w:cs="Times New Roman"/>
          <w:b/>
          <w:bCs/>
          <w:color w:val="212121"/>
          <w:sz w:val="18"/>
          <w:szCs w:val="18"/>
        </w:rPr>
        <w:t>The SRA or designee:</w:t>
      </w:r>
    </w:p>
    <w:p w14:paraId="40D97B92" w14:textId="4D89EDB1" w:rsidR="00E6449B" w:rsidRPr="00707BF9" w:rsidRDefault="00707BF9" w:rsidP="00707B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45911" w:themeColor="accent2" w:themeShade="BF"/>
          <w:sz w:val="18"/>
          <w:szCs w:val="18"/>
        </w:rPr>
      </w:pPr>
      <w:r w:rsidRPr="00707BF9">
        <w:rPr>
          <w:rFonts w:ascii="Verdana" w:eastAsia="Times New Roman" w:hAnsi="Verdana" w:cs="Times New Roman"/>
          <w:b/>
          <w:bCs/>
          <w:color w:val="C45911" w:themeColor="accent2" w:themeShade="BF"/>
          <w:sz w:val="18"/>
          <w:szCs w:val="18"/>
        </w:rPr>
        <w:t>Should conduct at least one consultation using the form for all specialized investigations in this section;</w:t>
      </w:r>
    </w:p>
    <w:p w14:paraId="3F706C7A" w14:textId="56FE619B" w:rsidR="00707BF9" w:rsidRDefault="00707BF9" w:rsidP="00707BF9">
      <w:pPr>
        <w:pStyle w:val="ListParagraph"/>
        <w:shd w:val="clear" w:color="auto" w:fill="FFFFFF"/>
        <w:spacing w:after="0" w:line="240" w:lineRule="auto"/>
        <w:ind w:left="1800"/>
        <w:rPr>
          <w:rFonts w:ascii="Verdana" w:eastAsia="Times New Roman" w:hAnsi="Verdana" w:cs="Times New Roman"/>
          <w:b/>
          <w:bCs/>
          <w:color w:val="C45911" w:themeColor="accent2" w:themeShade="BF"/>
          <w:sz w:val="18"/>
          <w:szCs w:val="18"/>
        </w:rPr>
      </w:pPr>
    </w:p>
    <w:p w14:paraId="77F3569D" w14:textId="77777777" w:rsidR="00707BF9" w:rsidRPr="00707BF9" w:rsidRDefault="00707BF9" w:rsidP="00707BF9">
      <w:pPr>
        <w:pStyle w:val="ListParagraph"/>
        <w:shd w:val="clear" w:color="auto" w:fill="FFFFFF"/>
        <w:spacing w:after="0" w:line="240" w:lineRule="auto"/>
        <w:ind w:left="1800"/>
        <w:rPr>
          <w:rFonts w:ascii="Verdana" w:eastAsia="Times New Roman" w:hAnsi="Verdana" w:cs="Times New Roman"/>
          <w:color w:val="C45911" w:themeColor="accent2" w:themeShade="BF"/>
          <w:sz w:val="18"/>
          <w:szCs w:val="18"/>
        </w:rPr>
      </w:pPr>
    </w:p>
    <w:p w14:paraId="5F5D1E5F" w14:textId="2DC4218C" w:rsidR="00E6449B" w:rsidRPr="00F01446" w:rsidRDefault="00E6449B" w:rsidP="00E6449B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01446">
        <w:rPr>
          <w:rFonts w:eastAsia="Times New Roman" w:cstheme="minorHAnsi"/>
          <w:b/>
          <w:sz w:val="24"/>
          <w:szCs w:val="24"/>
        </w:rPr>
        <w:t>Comment:</w:t>
      </w:r>
      <w:r w:rsidRPr="00F01446">
        <w:rPr>
          <w:rFonts w:eastAsia="Times New Roman" w:cstheme="minorHAnsi"/>
          <w:sz w:val="24"/>
          <w:szCs w:val="24"/>
        </w:rPr>
        <w:t xml:space="preserve">  Footnotes:</w:t>
      </w:r>
    </w:p>
    <w:p w14:paraId="5847C52F" w14:textId="623683CD" w:rsidR="00E6449B" w:rsidRPr="00F01446" w:rsidRDefault="00E6449B" w:rsidP="00F01446">
      <w:pPr>
        <w:pStyle w:val="ListParagraph"/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</w:rPr>
      </w:pPr>
      <w:r w:rsidRPr="00F01446">
        <w:rPr>
          <w:rFonts w:eastAsia="Times New Roman" w:cstheme="minorHAnsi"/>
          <w:sz w:val="24"/>
          <w:szCs w:val="24"/>
        </w:rPr>
        <w:t xml:space="preserve">Final </w:t>
      </w:r>
      <w:r w:rsidR="00707BF9" w:rsidRPr="00F01446">
        <w:rPr>
          <w:rFonts w:eastAsia="Times New Roman" w:cstheme="minorHAnsi"/>
          <w:sz w:val="24"/>
          <w:szCs w:val="24"/>
        </w:rPr>
        <w:t>approval</w:t>
      </w:r>
      <w:r w:rsidRPr="00F01446">
        <w:rPr>
          <w:rFonts w:eastAsia="Times New Roman" w:cstheme="minorHAnsi"/>
          <w:sz w:val="24"/>
          <w:szCs w:val="24"/>
        </w:rPr>
        <w:t xml:space="preserve"> on a substantiation must be approved by the DPP director’s office.  </w:t>
      </w:r>
    </w:p>
    <w:p w14:paraId="74261ECE" w14:textId="01638ACB" w:rsidR="00E6449B" w:rsidRPr="00F01446" w:rsidRDefault="00E6449B" w:rsidP="00E6449B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</w:rPr>
      </w:pPr>
      <w:r w:rsidRPr="00F01446">
        <w:rPr>
          <w:rFonts w:eastAsia="Times New Roman" w:cstheme="minorHAnsi"/>
          <w:sz w:val="24"/>
          <w:szCs w:val="24"/>
        </w:rPr>
        <w:t xml:space="preserve">Is this for all SI reports? </w:t>
      </w:r>
    </w:p>
    <w:p w14:paraId="47E66E50" w14:textId="7E8FF068" w:rsidR="007F24CE" w:rsidRDefault="00E6449B" w:rsidP="007F24C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F01446">
        <w:rPr>
          <w:rFonts w:eastAsia="Times New Roman" w:cstheme="minorHAnsi"/>
          <w:b/>
          <w:sz w:val="24"/>
          <w:szCs w:val="24"/>
        </w:rPr>
        <w:t xml:space="preserve">Response:  </w:t>
      </w:r>
      <w:r w:rsidR="007F24CE" w:rsidRPr="007F24CE">
        <w:rPr>
          <w:rFonts w:eastAsia="Times New Roman" w:cstheme="minorHAnsi"/>
          <w:sz w:val="24"/>
          <w:szCs w:val="24"/>
        </w:rPr>
        <w:t>Please see</w:t>
      </w:r>
      <w:r w:rsidR="007F24CE">
        <w:rPr>
          <w:rFonts w:eastAsia="Times New Roman" w:cstheme="minorHAnsi"/>
          <w:sz w:val="24"/>
          <w:szCs w:val="24"/>
        </w:rPr>
        <w:t xml:space="preserve"> the previous item # 34.</w:t>
      </w:r>
      <w:r w:rsidR="007F24CE">
        <w:rPr>
          <w:rFonts w:eastAsia="Times New Roman" w:cstheme="minorHAnsi"/>
          <w:b/>
          <w:sz w:val="24"/>
          <w:szCs w:val="24"/>
        </w:rPr>
        <w:t xml:space="preserve"> </w:t>
      </w:r>
    </w:p>
    <w:p w14:paraId="66CAD786" w14:textId="249A20BB" w:rsidR="007F24CE" w:rsidRPr="007F24CE" w:rsidRDefault="007F24CE" w:rsidP="007F24CE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7F24CE">
        <w:rPr>
          <w:rFonts w:eastAsia="Times New Roman" w:cstheme="minorHAnsi"/>
          <w:sz w:val="24"/>
          <w:szCs w:val="24"/>
        </w:rPr>
        <w:t>34.</w:t>
      </w:r>
      <w:r w:rsidRPr="007F24CE">
        <w:rPr>
          <w:rFonts w:ascii="Verdana" w:eastAsia="Times New Roman" w:hAnsi="Verdana" w:cs="Times New Roman"/>
          <w:color w:val="212121"/>
          <w:sz w:val="18"/>
          <w:szCs w:val="18"/>
        </w:rPr>
        <w:t xml:space="preserve"> </w:t>
      </w:r>
      <w:r w:rsidRPr="007F24CE">
        <w:rPr>
          <w:rFonts w:eastAsia="Times New Roman" w:cstheme="minorHAnsi"/>
          <w:sz w:val="24"/>
          <w:szCs w:val="24"/>
        </w:rPr>
        <w:t>Takes the following steps prior to a finding of substantiation due to systemic issues against a director, program director, administrator or other designated management staff:</w:t>
      </w:r>
    </w:p>
    <w:p w14:paraId="0EBB0EB1" w14:textId="77777777" w:rsidR="007F24CE" w:rsidRPr="007F24CE" w:rsidRDefault="007F24CE" w:rsidP="007F24CE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24CE">
        <w:rPr>
          <w:rFonts w:eastAsia="Times New Roman" w:cstheme="minorHAnsi"/>
          <w:sz w:val="24"/>
          <w:szCs w:val="24"/>
        </w:rPr>
        <w:t>Consults with the FSOS; and </w:t>
      </w:r>
    </w:p>
    <w:p w14:paraId="392F5C11" w14:textId="77777777" w:rsidR="007F24CE" w:rsidRPr="007F24CE" w:rsidRDefault="007F24CE" w:rsidP="007F24CE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24CE">
        <w:rPr>
          <w:rFonts w:eastAsia="Times New Roman" w:cstheme="minorHAnsi"/>
          <w:sz w:val="24"/>
          <w:szCs w:val="24"/>
        </w:rPr>
        <w:t>If the FSOS agrees with the SSW’s recommendation, consults with the regional attorney and documents the consultation in TWIST;</w:t>
      </w:r>
    </w:p>
    <w:p w14:paraId="54476310" w14:textId="1A618B31" w:rsidR="00E6449B" w:rsidRPr="007F24CE" w:rsidRDefault="007F24CE" w:rsidP="00E6449B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7F24CE">
        <w:rPr>
          <w:rFonts w:eastAsia="Times New Roman" w:cstheme="minorHAnsi"/>
          <w:sz w:val="24"/>
          <w:szCs w:val="24"/>
        </w:rPr>
        <w:t xml:space="preserve">  # 36 and the footnote is in reference to the language in 34.  </w:t>
      </w:r>
    </w:p>
    <w:p w14:paraId="7E76774A" w14:textId="53BD2447" w:rsidR="00E6449B" w:rsidRPr="00F01446" w:rsidRDefault="00E6449B" w:rsidP="00E644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106F244" w14:textId="7255191F" w:rsidR="004A49AB" w:rsidRPr="00F01446" w:rsidRDefault="00E6449B" w:rsidP="00E64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F01446">
        <w:rPr>
          <w:rFonts w:eastAsia="Times New Roman" w:cstheme="minorHAnsi"/>
          <w:b/>
          <w:sz w:val="24"/>
          <w:szCs w:val="24"/>
          <w:u w:val="single"/>
        </w:rPr>
        <w:t>SOP 2.15.2</w:t>
      </w:r>
    </w:p>
    <w:p w14:paraId="4D9590E5" w14:textId="516F15CD" w:rsidR="00E6449B" w:rsidRPr="00F01446" w:rsidRDefault="00E6449B" w:rsidP="00E6449B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color w:val="676767"/>
          <w:sz w:val="24"/>
          <w:szCs w:val="24"/>
        </w:rPr>
      </w:pPr>
      <w:r w:rsidRPr="00F01446">
        <w:rPr>
          <w:rFonts w:cstheme="minorHAnsi"/>
          <w:b/>
          <w:sz w:val="24"/>
          <w:szCs w:val="24"/>
        </w:rPr>
        <w:t xml:space="preserve">Comment:  </w:t>
      </w:r>
      <w:r w:rsidRPr="00F01446">
        <w:rPr>
          <w:rFonts w:cstheme="minorHAnsi"/>
          <w:b/>
          <w:color w:val="C45911" w:themeColor="accent2" w:themeShade="BF"/>
          <w:sz w:val="24"/>
          <w:szCs w:val="24"/>
        </w:rPr>
        <w:t xml:space="preserve">3.   </w:t>
      </w:r>
      <w:r w:rsidRPr="00F01446">
        <w:rPr>
          <w:rFonts w:eastAsia="Times New Roman" w:cstheme="minorHAnsi"/>
          <w:b/>
          <w:bCs/>
          <w:color w:val="B05800"/>
          <w:sz w:val="24"/>
          <w:szCs w:val="24"/>
        </w:rPr>
        <w:t>Consults with DPP Child Protection Branch staff as needed during the investigation and within thirty (30) working days of receiving the referral/report, to discuss the provider/employee's ability to return to work; </w:t>
      </w:r>
    </w:p>
    <w:p w14:paraId="2DA442C0" w14:textId="77777777" w:rsidR="00F01446" w:rsidRPr="00F01446" w:rsidRDefault="00F01446" w:rsidP="00F01446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676767"/>
          <w:sz w:val="24"/>
          <w:szCs w:val="24"/>
        </w:rPr>
      </w:pPr>
    </w:p>
    <w:p w14:paraId="4D246D92" w14:textId="65D1539A" w:rsidR="00E6449B" w:rsidRPr="00F01446" w:rsidRDefault="00E6449B" w:rsidP="00E6449B">
      <w:pPr>
        <w:pStyle w:val="ListParagraph"/>
        <w:rPr>
          <w:rFonts w:cstheme="minorHAnsi"/>
          <w:sz w:val="24"/>
          <w:szCs w:val="24"/>
        </w:rPr>
      </w:pPr>
      <w:r w:rsidRPr="00F01446">
        <w:rPr>
          <w:rFonts w:cstheme="minorHAnsi"/>
          <w:sz w:val="24"/>
          <w:szCs w:val="24"/>
        </w:rPr>
        <w:t xml:space="preserve">I read this as on </w:t>
      </w:r>
      <w:r w:rsidRPr="00F01446">
        <w:rPr>
          <w:rFonts w:cstheme="minorHAnsi"/>
          <w:sz w:val="24"/>
          <w:szCs w:val="24"/>
          <w:u w:val="single"/>
        </w:rPr>
        <w:t>all</w:t>
      </w:r>
      <w:r w:rsidRPr="00F01446">
        <w:rPr>
          <w:rFonts w:cstheme="minorHAnsi"/>
          <w:sz w:val="24"/>
          <w:szCs w:val="24"/>
        </w:rPr>
        <w:t xml:space="preserve"> facility reports we consult with CP branch before individual returns to work. Correct?</w:t>
      </w:r>
    </w:p>
    <w:p w14:paraId="2A813588" w14:textId="39EF5C2D" w:rsidR="00E6449B" w:rsidRPr="00F01446" w:rsidRDefault="00E6449B" w:rsidP="00E6449B">
      <w:pPr>
        <w:pStyle w:val="ListParagraph"/>
        <w:rPr>
          <w:rFonts w:cstheme="minorHAnsi"/>
          <w:sz w:val="24"/>
          <w:szCs w:val="24"/>
        </w:rPr>
      </w:pPr>
    </w:p>
    <w:p w14:paraId="2EB005E9" w14:textId="31DF9423" w:rsidR="00E6449B" w:rsidRPr="00F01446" w:rsidRDefault="00E6449B" w:rsidP="00E6449B">
      <w:pPr>
        <w:pStyle w:val="ListParagraph"/>
        <w:rPr>
          <w:rFonts w:cstheme="minorHAnsi"/>
          <w:sz w:val="24"/>
          <w:szCs w:val="24"/>
        </w:rPr>
      </w:pPr>
    </w:p>
    <w:p w14:paraId="6942CA0B" w14:textId="2F850405" w:rsidR="00E6449B" w:rsidRPr="00707BF9" w:rsidRDefault="00E6449B" w:rsidP="00E6449B">
      <w:pPr>
        <w:pStyle w:val="ListParagraph"/>
        <w:rPr>
          <w:rFonts w:cstheme="minorHAnsi"/>
          <w:sz w:val="24"/>
          <w:szCs w:val="24"/>
        </w:rPr>
      </w:pPr>
      <w:r w:rsidRPr="00F01446">
        <w:rPr>
          <w:rFonts w:cstheme="minorHAnsi"/>
          <w:b/>
          <w:sz w:val="24"/>
          <w:szCs w:val="24"/>
        </w:rPr>
        <w:t xml:space="preserve">Response:  </w:t>
      </w:r>
      <w:r w:rsidR="006C07ED" w:rsidRPr="00707BF9">
        <w:rPr>
          <w:rFonts w:cstheme="minorHAnsi"/>
          <w:sz w:val="24"/>
          <w:szCs w:val="24"/>
        </w:rPr>
        <w:t>Th</w:t>
      </w:r>
      <w:r w:rsidR="007F24CE">
        <w:rPr>
          <w:rFonts w:cstheme="minorHAnsi"/>
          <w:sz w:val="24"/>
          <w:szCs w:val="24"/>
        </w:rPr>
        <w:t xml:space="preserve">is will be </w:t>
      </w:r>
      <w:r w:rsidR="00340263">
        <w:rPr>
          <w:rFonts w:cstheme="minorHAnsi"/>
          <w:sz w:val="24"/>
          <w:szCs w:val="24"/>
        </w:rPr>
        <w:t xml:space="preserve">deleted until </w:t>
      </w:r>
      <w:r w:rsidR="007F24CE">
        <w:rPr>
          <w:rFonts w:cstheme="minorHAnsi"/>
          <w:sz w:val="24"/>
          <w:szCs w:val="24"/>
        </w:rPr>
        <w:t xml:space="preserve">further </w:t>
      </w:r>
      <w:r w:rsidR="00340263">
        <w:rPr>
          <w:rFonts w:cstheme="minorHAnsi"/>
          <w:sz w:val="24"/>
          <w:szCs w:val="24"/>
        </w:rPr>
        <w:t xml:space="preserve">amendments are made to the </w:t>
      </w:r>
      <w:r w:rsidR="007F24CE">
        <w:rPr>
          <w:rFonts w:cstheme="minorHAnsi"/>
          <w:sz w:val="24"/>
          <w:szCs w:val="24"/>
        </w:rPr>
        <w:t>r</w:t>
      </w:r>
      <w:r w:rsidR="006C07ED" w:rsidRPr="00707BF9">
        <w:rPr>
          <w:rFonts w:cstheme="minorHAnsi"/>
          <w:sz w:val="24"/>
          <w:szCs w:val="24"/>
        </w:rPr>
        <w:t xml:space="preserve">egulation. </w:t>
      </w:r>
    </w:p>
    <w:p w14:paraId="45B19DB1" w14:textId="1DA1940F" w:rsidR="00E6449B" w:rsidRPr="00F01446" w:rsidRDefault="00E6449B" w:rsidP="00E6449B">
      <w:pPr>
        <w:pStyle w:val="ListParagraph"/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4A9B97C7" w14:textId="5F20269D" w:rsidR="003F2C59" w:rsidRPr="00C46706" w:rsidRDefault="003F2C59" w:rsidP="003F2C59">
      <w:pPr>
        <w:ind w:left="720"/>
      </w:pPr>
    </w:p>
    <w:sectPr w:rsidR="003F2C59" w:rsidRPr="00C4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2A97" w16cex:dateUtc="2021-05-28T12:38:00Z"/>
  <w16cex:commentExtensible w16cex:durableId="245B2AC5" w16cex:dateUtc="2021-05-28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E2697" w16cid:durableId="245B2A97"/>
  <w16cid:commentId w16cid:paraId="6894CC91" w16cid:durableId="245B2A4F"/>
  <w16cid:commentId w16cid:paraId="23EC71CB" w16cid:durableId="245B2A50"/>
  <w16cid:commentId w16cid:paraId="4624598F" w16cid:durableId="245B2A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D9"/>
    <w:multiLevelType w:val="hybridMultilevel"/>
    <w:tmpl w:val="21785D22"/>
    <w:lvl w:ilvl="0" w:tplc="3C4EE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F61"/>
    <w:multiLevelType w:val="hybridMultilevel"/>
    <w:tmpl w:val="A956F8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0F5C69"/>
    <w:multiLevelType w:val="hybridMultilevel"/>
    <w:tmpl w:val="98DA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34E"/>
    <w:multiLevelType w:val="hybridMultilevel"/>
    <w:tmpl w:val="A3EE575C"/>
    <w:lvl w:ilvl="0" w:tplc="B25AA3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70FA"/>
    <w:multiLevelType w:val="hybridMultilevel"/>
    <w:tmpl w:val="EEE2F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59BF"/>
    <w:multiLevelType w:val="hybridMultilevel"/>
    <w:tmpl w:val="FDD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869"/>
    <w:multiLevelType w:val="hybridMultilevel"/>
    <w:tmpl w:val="938AB41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C45AF5"/>
    <w:multiLevelType w:val="hybridMultilevel"/>
    <w:tmpl w:val="58BE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D77"/>
    <w:multiLevelType w:val="hybridMultilevel"/>
    <w:tmpl w:val="9104A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00A07"/>
    <w:multiLevelType w:val="hybridMultilevel"/>
    <w:tmpl w:val="7BA2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3648"/>
    <w:multiLevelType w:val="hybridMultilevel"/>
    <w:tmpl w:val="7AC2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764C"/>
    <w:multiLevelType w:val="hybridMultilevel"/>
    <w:tmpl w:val="4282D8E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4B30D87"/>
    <w:multiLevelType w:val="hybridMultilevel"/>
    <w:tmpl w:val="72EADC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5D2A70"/>
    <w:multiLevelType w:val="multilevel"/>
    <w:tmpl w:val="8AD2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03477"/>
    <w:multiLevelType w:val="hybridMultilevel"/>
    <w:tmpl w:val="563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415C0"/>
    <w:multiLevelType w:val="hybridMultilevel"/>
    <w:tmpl w:val="26DA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0C0"/>
    <w:multiLevelType w:val="multilevel"/>
    <w:tmpl w:val="2AFA33C8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decimal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decimal"/>
      <w:lvlText w:val="%6."/>
      <w:lvlJc w:val="left"/>
      <w:pPr>
        <w:tabs>
          <w:tab w:val="num" w:pos="4815"/>
        </w:tabs>
        <w:ind w:left="4815" w:hanging="36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decimal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decimal"/>
      <w:lvlText w:val="%9."/>
      <w:lvlJc w:val="left"/>
      <w:pPr>
        <w:tabs>
          <w:tab w:val="num" w:pos="6975"/>
        </w:tabs>
        <w:ind w:left="6975" w:hanging="360"/>
      </w:pPr>
    </w:lvl>
  </w:abstractNum>
  <w:abstractNum w:abstractNumId="17" w15:restartNumberingAfterBreak="0">
    <w:nsid w:val="343B66A3"/>
    <w:multiLevelType w:val="hybridMultilevel"/>
    <w:tmpl w:val="93F49A6C"/>
    <w:lvl w:ilvl="0" w:tplc="7C2C0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31B5F"/>
    <w:multiLevelType w:val="hybridMultilevel"/>
    <w:tmpl w:val="7F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B15BF"/>
    <w:multiLevelType w:val="multilevel"/>
    <w:tmpl w:val="0FD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C73B1"/>
    <w:multiLevelType w:val="hybridMultilevel"/>
    <w:tmpl w:val="6192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80D43"/>
    <w:multiLevelType w:val="hybridMultilevel"/>
    <w:tmpl w:val="A82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2CC7"/>
    <w:multiLevelType w:val="hybridMultilevel"/>
    <w:tmpl w:val="FC5C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D1B21"/>
    <w:multiLevelType w:val="hybridMultilevel"/>
    <w:tmpl w:val="C2A0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6D2B"/>
    <w:multiLevelType w:val="hybridMultilevel"/>
    <w:tmpl w:val="BDE0BF2E"/>
    <w:lvl w:ilvl="0" w:tplc="A30CB3C2">
      <w:start w:val="3"/>
      <w:numFmt w:val="decimal"/>
      <w:lvlText w:val="%1."/>
      <w:lvlJc w:val="left"/>
      <w:pPr>
        <w:ind w:left="1080" w:hanging="360"/>
      </w:pPr>
      <w:rPr>
        <w:b/>
        <w:color w:val="B058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E20BF0"/>
    <w:multiLevelType w:val="multilevel"/>
    <w:tmpl w:val="6FB0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600B9"/>
    <w:multiLevelType w:val="hybridMultilevel"/>
    <w:tmpl w:val="DA2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51D8B"/>
    <w:multiLevelType w:val="hybridMultilevel"/>
    <w:tmpl w:val="4F04CEB6"/>
    <w:lvl w:ilvl="0" w:tplc="D3588F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61520"/>
    <w:multiLevelType w:val="hybridMultilevel"/>
    <w:tmpl w:val="3E1AF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92B10"/>
    <w:multiLevelType w:val="hybridMultilevel"/>
    <w:tmpl w:val="76DA1D84"/>
    <w:lvl w:ilvl="0" w:tplc="C40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554B"/>
    <w:multiLevelType w:val="hybridMultilevel"/>
    <w:tmpl w:val="B7B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127CA"/>
    <w:multiLevelType w:val="hybridMultilevel"/>
    <w:tmpl w:val="3558C5B2"/>
    <w:lvl w:ilvl="0" w:tplc="E42E66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21091"/>
    <w:multiLevelType w:val="hybridMultilevel"/>
    <w:tmpl w:val="CEA88FF6"/>
    <w:lvl w:ilvl="0" w:tplc="0409000F">
      <w:start w:val="1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624ED"/>
    <w:multiLevelType w:val="hybridMultilevel"/>
    <w:tmpl w:val="806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C55E0"/>
    <w:multiLevelType w:val="multilevel"/>
    <w:tmpl w:val="4F40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437C3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97B12"/>
    <w:multiLevelType w:val="hybridMultilevel"/>
    <w:tmpl w:val="5AD0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6494"/>
    <w:multiLevelType w:val="multilevel"/>
    <w:tmpl w:val="6FB0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4C4ECD"/>
    <w:multiLevelType w:val="hybridMultilevel"/>
    <w:tmpl w:val="93D26DC2"/>
    <w:lvl w:ilvl="0" w:tplc="0BAC0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348DB"/>
    <w:multiLevelType w:val="hybridMultilevel"/>
    <w:tmpl w:val="80AA8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624AA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21C5A"/>
    <w:multiLevelType w:val="hybridMultilevel"/>
    <w:tmpl w:val="AB045F20"/>
    <w:lvl w:ilvl="0" w:tplc="D3588F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01A03"/>
    <w:multiLevelType w:val="hybridMultilevel"/>
    <w:tmpl w:val="70C0D528"/>
    <w:lvl w:ilvl="0" w:tplc="60700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700D"/>
    <w:multiLevelType w:val="multilevel"/>
    <w:tmpl w:val="C8D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42"/>
  </w:num>
  <w:num w:numId="5">
    <w:abstractNumId w:val="42"/>
  </w:num>
  <w:num w:numId="6">
    <w:abstractNumId w:val="20"/>
  </w:num>
  <w:num w:numId="7">
    <w:abstractNumId w:val="22"/>
  </w:num>
  <w:num w:numId="8">
    <w:abstractNumId w:val="30"/>
  </w:num>
  <w:num w:numId="9">
    <w:abstractNumId w:val="18"/>
  </w:num>
  <w:num w:numId="10">
    <w:abstractNumId w:val="0"/>
  </w:num>
  <w:num w:numId="11">
    <w:abstractNumId w:val="3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4"/>
  </w:num>
  <w:num w:numId="19">
    <w:abstractNumId w:val="43"/>
  </w:num>
  <w:num w:numId="20">
    <w:abstractNumId w:val="33"/>
  </w:num>
  <w:num w:numId="21">
    <w:abstractNumId w:val="33"/>
  </w:num>
  <w:num w:numId="22">
    <w:abstractNumId w:val="15"/>
  </w:num>
  <w:num w:numId="23">
    <w:abstractNumId w:val="36"/>
  </w:num>
  <w:num w:numId="24">
    <w:abstractNumId w:val="7"/>
  </w:num>
  <w:num w:numId="25">
    <w:abstractNumId w:val="9"/>
  </w:num>
  <w:num w:numId="26">
    <w:abstractNumId w:val="35"/>
  </w:num>
  <w:num w:numId="27">
    <w:abstractNumId w:val="40"/>
  </w:num>
  <w:num w:numId="28">
    <w:abstractNumId w:val="39"/>
  </w:num>
  <w:num w:numId="29">
    <w:abstractNumId w:val="8"/>
  </w:num>
  <w:num w:numId="30">
    <w:abstractNumId w:val="6"/>
  </w:num>
  <w:num w:numId="31">
    <w:abstractNumId w:val="3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"/>
  </w:num>
  <w:num w:numId="34">
    <w:abstractNumId w:val="28"/>
  </w:num>
  <w:num w:numId="35">
    <w:abstractNumId w:val="31"/>
  </w:num>
  <w:num w:numId="36">
    <w:abstractNumId w:val="17"/>
  </w:num>
  <w:num w:numId="3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1"/>
  </w:num>
  <w:num w:numId="40">
    <w:abstractNumId w:val="25"/>
  </w:num>
  <w:num w:numId="41">
    <w:abstractNumId w:val="12"/>
  </w:num>
  <w:num w:numId="42">
    <w:abstractNumId w:val="19"/>
  </w:num>
  <w:num w:numId="43">
    <w:abstractNumId w:val="34"/>
  </w:num>
  <w:num w:numId="44">
    <w:abstractNumId w:val="16"/>
  </w:num>
  <w:num w:numId="45">
    <w:abstractNumId w:val="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NK0FACa46qMtAAAA"/>
  </w:docVars>
  <w:rsids>
    <w:rsidRoot w:val="004A49AB"/>
    <w:rsid w:val="00005640"/>
    <w:rsid w:val="00011851"/>
    <w:rsid w:val="00053CFF"/>
    <w:rsid w:val="000543E1"/>
    <w:rsid w:val="000623AD"/>
    <w:rsid w:val="000F238F"/>
    <w:rsid w:val="000F69DE"/>
    <w:rsid w:val="001517FE"/>
    <w:rsid w:val="00192F41"/>
    <w:rsid w:val="001C3183"/>
    <w:rsid w:val="001D2536"/>
    <w:rsid w:val="001F3CDF"/>
    <w:rsid w:val="001F41C5"/>
    <w:rsid w:val="001F5873"/>
    <w:rsid w:val="00221041"/>
    <w:rsid w:val="00251039"/>
    <w:rsid w:val="00273297"/>
    <w:rsid w:val="002869E9"/>
    <w:rsid w:val="002F38F5"/>
    <w:rsid w:val="002F63DC"/>
    <w:rsid w:val="00340263"/>
    <w:rsid w:val="00343513"/>
    <w:rsid w:val="003437BB"/>
    <w:rsid w:val="00362E1A"/>
    <w:rsid w:val="00371EBD"/>
    <w:rsid w:val="003D39A4"/>
    <w:rsid w:val="003F2C59"/>
    <w:rsid w:val="004007D1"/>
    <w:rsid w:val="00413402"/>
    <w:rsid w:val="00420EDC"/>
    <w:rsid w:val="0045550B"/>
    <w:rsid w:val="004A49AB"/>
    <w:rsid w:val="004D1316"/>
    <w:rsid w:val="004D4B7E"/>
    <w:rsid w:val="0050012F"/>
    <w:rsid w:val="00550A03"/>
    <w:rsid w:val="0059218F"/>
    <w:rsid w:val="005974C4"/>
    <w:rsid w:val="005A4E87"/>
    <w:rsid w:val="005B7E1E"/>
    <w:rsid w:val="005F21CC"/>
    <w:rsid w:val="00653494"/>
    <w:rsid w:val="006C07ED"/>
    <w:rsid w:val="00702A22"/>
    <w:rsid w:val="00707BF9"/>
    <w:rsid w:val="007442FC"/>
    <w:rsid w:val="00765911"/>
    <w:rsid w:val="00774AC9"/>
    <w:rsid w:val="007B5F03"/>
    <w:rsid w:val="007F24CE"/>
    <w:rsid w:val="00805A91"/>
    <w:rsid w:val="00873066"/>
    <w:rsid w:val="008A179C"/>
    <w:rsid w:val="0092656E"/>
    <w:rsid w:val="00976197"/>
    <w:rsid w:val="00A06021"/>
    <w:rsid w:val="00A07BBC"/>
    <w:rsid w:val="00A125DE"/>
    <w:rsid w:val="00A174A4"/>
    <w:rsid w:val="00A56E8E"/>
    <w:rsid w:val="00A8339D"/>
    <w:rsid w:val="00A95674"/>
    <w:rsid w:val="00AF2A06"/>
    <w:rsid w:val="00B07426"/>
    <w:rsid w:val="00B32FC5"/>
    <w:rsid w:val="00B33500"/>
    <w:rsid w:val="00B5321A"/>
    <w:rsid w:val="00B765F4"/>
    <w:rsid w:val="00B9565D"/>
    <w:rsid w:val="00BA25D2"/>
    <w:rsid w:val="00BA4DCB"/>
    <w:rsid w:val="00BC536E"/>
    <w:rsid w:val="00C20D48"/>
    <w:rsid w:val="00C23E57"/>
    <w:rsid w:val="00C33AA7"/>
    <w:rsid w:val="00C44A31"/>
    <w:rsid w:val="00C46706"/>
    <w:rsid w:val="00D43663"/>
    <w:rsid w:val="00D51B9C"/>
    <w:rsid w:val="00D72313"/>
    <w:rsid w:val="00D74164"/>
    <w:rsid w:val="00DA6A37"/>
    <w:rsid w:val="00DB7405"/>
    <w:rsid w:val="00DB7BFF"/>
    <w:rsid w:val="00DE505F"/>
    <w:rsid w:val="00DF3321"/>
    <w:rsid w:val="00DF5C47"/>
    <w:rsid w:val="00E07F79"/>
    <w:rsid w:val="00E24EB4"/>
    <w:rsid w:val="00E27CA5"/>
    <w:rsid w:val="00E6449B"/>
    <w:rsid w:val="00F01446"/>
    <w:rsid w:val="00F33A03"/>
    <w:rsid w:val="00F70A10"/>
    <w:rsid w:val="00FA43A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character" w:customStyle="1" w:styleId="ms-rtebackcolor-4">
    <w:name w:val="ms-rtebackcolor-4"/>
    <w:basedOn w:val="DefaultParagraphFont"/>
    <w:rsid w:val="0092656E"/>
  </w:style>
  <w:style w:type="character" w:customStyle="1" w:styleId="ms-rtestyle-deleted-material1">
    <w:name w:val="ms-rtestyle-deleted-material1"/>
    <w:basedOn w:val="DefaultParagraphFont"/>
    <w:rsid w:val="00C46706"/>
    <w:rPr>
      <w:strike/>
      <w:color w:val="B05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2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7FA03-0A0F-4F3D-85A9-5D0FBEC6A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21-19 Statement of Consideration for SOP 2.15, 2.15.2, 2.15.3, 2.15.9, and the CPS Investigative Distribution Chart</dc:title>
  <dc:subject/>
  <dc:creator>Cubert, Julie M (CHFS DCBS DPP)</dc:creator>
  <cp:keywords/>
  <dc:description/>
  <cp:lastModifiedBy>Cubert, Julie M (CHFS DCBS DPP)</cp:lastModifiedBy>
  <cp:revision>2</cp:revision>
  <cp:lastPrinted>2019-07-17T17:01:00Z</cp:lastPrinted>
  <dcterms:created xsi:type="dcterms:W3CDTF">2021-05-28T15:03:00Z</dcterms:created>
  <dcterms:modified xsi:type="dcterms:W3CDTF">2021-05-28T15:03:00Z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